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9.0 -->
  <w:body>
    <w:p>
      <w:pPr>
        <w:pStyle w:val="Heading1"/>
        <w:keepNext w:val="0"/>
        <w:keepLines w:val="0"/>
        <w:widowControl/>
        <w:shd w:val="clear" w:color="auto" w:fill="FFFFFF"/>
        <w:spacing w:before="0" w:after="300"/>
        <w:ind w:left="0" w:right="0" w:firstLine="0"/>
        <w:jc w:val="left"/>
        <w:rPr>
          <w:rFonts w:ascii="Verdana" w:eastAsia="Verdana" w:hAnsi="Verdana" w:cs="Verdana"/>
          <w:b w:val="0"/>
          <w:bCs w:val="0"/>
          <w:i w:val="0"/>
          <w:iCs w:val="0"/>
          <w:caps w:val="0"/>
          <w:color w:val="000000"/>
          <w:spacing w:val="0"/>
          <w:sz w:val="38"/>
          <w:szCs w:val="38"/>
        </w:rPr>
      </w:pPr>
      <w:r>
        <w:rPr>
          <w:rFonts w:ascii="Verdana" w:eastAsia="Verdana" w:hAnsi="Verdana" w:cs="Verdana"/>
          <w:b w:val="0"/>
          <w:bCs w:val="0"/>
          <w:iCs w:val="0"/>
          <w:caps w:val="0"/>
          <w:color w:val="000000"/>
          <w:spacing w:val="0"/>
          <w:sz w:val="38"/>
          <w:szCs w:val="38"/>
        </w:rPr>
        <w:t>ПОСТАНОВЛЕНИЕ от 10 июня 2022 г. № 527</w:t>
      </w:r>
    </w:p>
    <w:p>
      <w:pPr>
        <w:pStyle w:val="news-date-time"/>
        <w:widowControl/>
        <w:shd w:val="clear" w:color="auto" w:fill="FFFFFF"/>
        <w:spacing w:after="240"/>
        <w:ind w:firstLine="0"/>
        <w:jc w:val="left"/>
        <w:rPr>
          <w:rFonts w:ascii="Verdana" w:eastAsia="Verdana" w:hAnsi="Verdana" w:cs="Verdana"/>
          <w:b w:val="0"/>
          <w:bCs w:val="0"/>
          <w:i w:val="0"/>
          <w:iCs w:val="0"/>
          <w:caps w:val="0"/>
          <w:color w:val="486DAA"/>
          <w:spacing w:val="0"/>
          <w:sz w:val="20"/>
          <w:szCs w:val="20"/>
        </w:rPr>
      </w:pPr>
      <w:r>
        <w:rPr>
          <w:rFonts w:ascii="Verdana" w:eastAsia="Verdana" w:hAnsi="Verdana" w:cs="Verdana"/>
          <w:b w:val="0"/>
          <w:bCs w:val="0"/>
          <w:i w:val="0"/>
          <w:iCs w:val="0"/>
          <w:caps w:val="0"/>
          <w:color w:val="486DAA"/>
          <w:spacing w:val="0"/>
          <w:sz w:val="20"/>
          <w:szCs w:val="20"/>
        </w:rPr>
        <w:t>17.06.2022</w:t>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strike w:val="0"/>
          <w:color w:val="000000"/>
          <w:spacing w:val="0"/>
          <w:sz w:val="20"/>
          <w:szCs w:val="20"/>
          <w:u w:val="none"/>
          <w:bdr w:val="none" w:sz="0" w:space="0" w:color="auto"/>
        </w:rPr>
        <w:drawing>
          <wp:inline>
            <wp:extent cx="571500" cy="571500"/>
            <wp:docPr id="100001" name=""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71500" cy="571500"/>
                    </a:xfrm>
                    <a:prstGeom prst="rect">
                      <a:avLst/>
                    </a:prstGeom>
                    <a:ln>
                      <a:noFill/>
                    </a:ln>
                  </pic:spPr>
                </pic:pic>
              </a:graphicData>
            </a:graphic>
          </wp:inline>
        </w:drawing>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АДМИНИСТРАЦИЯ ГОРОДСКОГО ОКРУГА </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ПОСТАНОВЛЕНИЕ</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p>
    <w:p>
      <w:pPr>
        <w:spacing w:before="240" w:after="240"/>
      </w:pPr>
      <w:r>
        <w:rPr>
          <w:rFonts w:ascii="Verdana" w:eastAsia="Verdana" w:hAnsi="Verdana" w:cs="Verdana"/>
          <w:b w:val="0"/>
          <w:bCs w:val="0"/>
          <w:i w:val="0"/>
          <w:iCs w:val="0"/>
          <w:caps w:val="0"/>
          <w:color w:val="000000"/>
          <w:spacing w:val="0"/>
          <w:sz w:val="20"/>
          <w:szCs w:val="20"/>
          <w:shd w:val="clear" w:color="auto" w:fill="FFFFFF"/>
        </w:rPr>
        <w:t>от 10 июня 2022 г. № 527</w:t>
      </w:r>
    </w:p>
    <w:p>
      <w:pPr>
        <w:spacing w:before="240" w:after="240"/>
      </w:pPr>
      <w:r>
        <w:rPr>
          <w:rFonts w:ascii="Verdana" w:eastAsia="Verdana" w:hAnsi="Verdana" w:cs="Verdana"/>
          <w:b w:val="0"/>
          <w:bCs w:val="0"/>
          <w:i w:val="0"/>
          <w:iCs w:val="0"/>
          <w:caps w:val="0"/>
          <w:color w:val="000000"/>
          <w:spacing w:val="0"/>
          <w:sz w:val="20"/>
          <w:szCs w:val="20"/>
          <w:shd w:val="clear" w:color="auto" w:fill="FFFFFF"/>
        </w:rPr>
        <w:t>г. Воронеж</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bCs/>
          <w:i w:val="0"/>
          <w:iCs w:val="0"/>
          <w:caps w:val="0"/>
          <w:color w:val="1D5586"/>
          <w:spacing w:val="0"/>
          <w:sz w:val="20"/>
          <w:szCs w:val="20"/>
          <w:shd w:val="clear" w:color="auto" w:fill="FFFFFF"/>
        </w:rPr>
        <w:t>О порядке взаимодействия </w:t>
      </w:r>
    </w:p>
    <w:p>
      <w:pPr>
        <w:spacing w:before="240" w:after="240"/>
      </w:pPr>
      <w:r>
        <w:rPr>
          <w:rFonts w:ascii="Verdana" w:eastAsia="Verdana" w:hAnsi="Verdana" w:cs="Verdana"/>
          <w:b/>
          <w:bCs/>
          <w:i w:val="0"/>
          <w:iCs w:val="0"/>
          <w:caps w:val="0"/>
          <w:color w:val="1D5586"/>
          <w:spacing w:val="0"/>
          <w:sz w:val="20"/>
          <w:szCs w:val="20"/>
          <w:shd w:val="clear" w:color="auto" w:fill="FFFFFF"/>
        </w:rPr>
        <w:t>структурных подразделений </w:t>
      </w:r>
    </w:p>
    <w:p>
      <w:pPr>
        <w:spacing w:before="240" w:after="240"/>
      </w:pPr>
      <w:r>
        <w:rPr>
          <w:rFonts w:ascii="Verdana" w:eastAsia="Verdana" w:hAnsi="Verdana" w:cs="Verdana"/>
          <w:b/>
          <w:bCs/>
          <w:i w:val="0"/>
          <w:iCs w:val="0"/>
          <w:caps w:val="0"/>
          <w:color w:val="1D5586"/>
          <w:spacing w:val="0"/>
          <w:sz w:val="20"/>
          <w:szCs w:val="20"/>
          <w:shd w:val="clear" w:color="auto" w:fill="FFFFFF"/>
        </w:rPr>
        <w:t>администрации городского округа </w:t>
      </w:r>
    </w:p>
    <w:p>
      <w:pPr>
        <w:spacing w:before="240" w:after="240"/>
      </w:pPr>
      <w:r>
        <w:rPr>
          <w:rFonts w:ascii="Verdana" w:eastAsia="Verdana" w:hAnsi="Verdana" w:cs="Verdana"/>
          <w:b/>
          <w:bCs/>
          <w:i w:val="0"/>
          <w:iCs w:val="0"/>
          <w:caps w:val="0"/>
          <w:color w:val="1D5586"/>
          <w:spacing w:val="0"/>
          <w:sz w:val="20"/>
          <w:szCs w:val="20"/>
          <w:shd w:val="clear" w:color="auto" w:fill="FFFFFF"/>
        </w:rPr>
        <w:t>город Воронеж при разработке схемы </w:t>
      </w:r>
    </w:p>
    <w:p>
      <w:pPr>
        <w:spacing w:before="240" w:after="240"/>
      </w:pPr>
      <w:r>
        <w:rPr>
          <w:rFonts w:ascii="Verdana" w:eastAsia="Verdana" w:hAnsi="Verdana" w:cs="Verdana"/>
          <w:b/>
          <w:bCs/>
          <w:i w:val="0"/>
          <w:iCs w:val="0"/>
          <w:caps w:val="0"/>
          <w:color w:val="1D5586"/>
          <w:spacing w:val="0"/>
          <w:sz w:val="20"/>
          <w:szCs w:val="20"/>
          <w:shd w:val="clear" w:color="auto" w:fill="FFFFFF"/>
        </w:rPr>
        <w:t>размещения гаражей на территории </w:t>
      </w:r>
    </w:p>
    <w:p>
      <w:pPr>
        <w:spacing w:before="240" w:after="240"/>
      </w:pPr>
      <w:r>
        <w:rPr>
          <w:rFonts w:ascii="Verdana" w:eastAsia="Verdana" w:hAnsi="Verdana" w:cs="Verdana"/>
          <w:b/>
          <w:bCs/>
          <w:i w:val="0"/>
          <w:iCs w:val="0"/>
          <w:caps w:val="0"/>
          <w:color w:val="1D5586"/>
          <w:spacing w:val="0"/>
          <w:sz w:val="20"/>
          <w:szCs w:val="20"/>
          <w:shd w:val="clear" w:color="auto" w:fill="FFFFFF"/>
        </w:rPr>
        <w:t>городского округа город Воронеж</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val="0"/>
          <w:bCs w:val="0"/>
          <w:i w:val="0"/>
          <w:iCs w:val="0"/>
          <w:caps w:val="0"/>
          <w:color w:val="000000"/>
          <w:spacing w:val="0"/>
          <w:sz w:val="20"/>
          <w:szCs w:val="20"/>
          <w:shd w:val="clear" w:color="auto" w:fill="FFFFFF"/>
        </w:rPr>
        <w:t>В соответствии со статьей 5 Федерального закона от 05.04.2021 № 79-ФЗ «О внесении изменений в отдельные законодательные акты Российской Федерации», частью 1 статьи 39.36-1 Земельного кодекса Российской Федерации, Федеральным законом от 25.10.2001 № 137-ФЗ «О введении в действие Земельного кодекса Российской Федерации», постановлением правительства Воронежской области от 17.09.2021 № 535 «Об утверждении Порядка утверждения органами местного самоуправления поселений, городских округов схемы размещения на землях или земельных участках, находящихся в государственной или муниципальной собственности, гаражей, являющихся некапитальными сооружениями, либо стоянки технических или других средств передвижения инвалидов вблизи их места жительства на территории Воронежской области» администрация городского округа город Воронеж постановляет:</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val="0"/>
          <w:bCs w:val="0"/>
          <w:i w:val="0"/>
          <w:iCs w:val="0"/>
          <w:caps w:val="0"/>
          <w:color w:val="000000"/>
          <w:spacing w:val="0"/>
          <w:sz w:val="20"/>
          <w:szCs w:val="20"/>
          <w:shd w:val="clear" w:color="auto" w:fill="FFFFFF"/>
        </w:rPr>
        <w:t>1. Определить территориальные структурные подразделения администрации городского округа город Воронеж уполномоченными органами на прием заявлений заинтересованных лиц и разработку текстовой части схемы размещения на землях или земельных участках, находящихся в государственной или муниципальной собственности муниципального образования городской округ город Воронеж, а также на земельных участках, государственная собственность на которые не разграничена, расположенных на территории муниципального образования городской округ город Воронеж, гаражей, являющихся некапитальными сооружениями, либо стоянки технических или других средств передвижения инвалидов вблизи их места жительства на территории городского округа город Воронеж.</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val="0"/>
          <w:bCs w:val="0"/>
          <w:i w:val="0"/>
          <w:iCs w:val="0"/>
          <w:caps w:val="0"/>
          <w:color w:val="000000"/>
          <w:spacing w:val="0"/>
          <w:sz w:val="20"/>
          <w:szCs w:val="20"/>
          <w:shd w:val="clear" w:color="auto" w:fill="FFFFFF"/>
        </w:rPr>
        <w:t>2. Определить управление главного архитектора администрации городского округа город Воронеж уполномоченным органом на разработку графической части схемы размещения на землях или земельных участках, находящихся в государственной или муниципальной собственности муниципального образования городской округ город Воронеж, а также на земельных участках, государственная собственность на которые не разграничена, расположенных на территории муниципального образования городской округ город Воронеж, гаражей, являющихся некапитальными сооружениями, либо стоянки технических или других средств передвижения инвалидов вблизи их места жительства на территории городского округа город Воронеж.</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val="0"/>
          <w:bCs w:val="0"/>
          <w:i w:val="0"/>
          <w:iCs w:val="0"/>
          <w:caps w:val="0"/>
          <w:color w:val="000000"/>
          <w:spacing w:val="0"/>
          <w:sz w:val="20"/>
          <w:szCs w:val="20"/>
          <w:shd w:val="clear" w:color="auto" w:fill="FFFFFF"/>
        </w:rPr>
        <w:t>3. Утвердить прилагаемый Порядок взаимодействия структурных подразделений администрации городского округа город Воронеж при разработке схемы размещения на землях или земельных участках, находящихся в государственной или муниципальной собственности муниципального образования городской округ город Воронеж, а также на земельных участках, государственная собственность на которые не разграничена, расположенных на территории муниципального образования городской округ город Воронеж, гаражей, являющихся некапитальными сооружениями, либо стоянки технических или других средств передвижения инвалидов вблизи их места жительства на территории городского округа город Воронеж.</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val="0"/>
          <w:bCs w:val="0"/>
          <w:i w:val="0"/>
          <w:iCs w:val="0"/>
          <w:caps w:val="0"/>
          <w:color w:val="000000"/>
          <w:spacing w:val="0"/>
          <w:sz w:val="20"/>
          <w:szCs w:val="20"/>
          <w:shd w:val="clear" w:color="auto" w:fill="FFFFFF"/>
        </w:rPr>
        <w:t>4. Создать межведомственную комиссию по разработке схемы размещения на землях или земельных участках, находящихся в государственной или муниципальной собственности муниципального образования городской округ город Воронеж, а также на земельных участках, государственная собственность на которые не разграничена, расположенных на территории муниципального образования городской округ город Воронеж, гаражей, являющихся некапитальными сооружениями, либо стоянки технических или других средств передвижения инвалидов вблизи их места жительства на территории городского округа город Воронеж.</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val="0"/>
          <w:bCs w:val="0"/>
          <w:i w:val="0"/>
          <w:iCs w:val="0"/>
          <w:caps w:val="0"/>
          <w:color w:val="000000"/>
          <w:spacing w:val="0"/>
          <w:sz w:val="20"/>
          <w:szCs w:val="20"/>
          <w:shd w:val="clear" w:color="auto" w:fill="FFFFFF"/>
        </w:rPr>
        <w:t>5. Утвердить прилагаемый состав межведомственной комиссии по разработке схемы размещения на землях или земельных участках, находящихся в государственной или муниципальной собственности муниципального образования городской округ город Воронеж, а также на земельных участках, государственная собственность на которые не разграничена, расположенных на территории муниципального образования городской округ город Воронеж, гаражей, являющихся некапитальными сооружениями, либо стоянки технических или других средств передвижения инвалидов вблизи их места жительства на территории городского округа город Воронеж.</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val="0"/>
          <w:bCs w:val="0"/>
          <w:i w:val="0"/>
          <w:iCs w:val="0"/>
          <w:caps w:val="0"/>
          <w:color w:val="000000"/>
          <w:spacing w:val="0"/>
          <w:sz w:val="20"/>
          <w:szCs w:val="20"/>
          <w:shd w:val="clear" w:color="auto" w:fill="FFFFFF"/>
        </w:rPr>
        <w:t>6. Утвердить прилагаемый Порядок деятельности межведомственной комиссии по разработке схемы размещения на землях или земельных участках, находящихся в государственной или муниципальной собственности муниципального образования городской округ город Воронеж, а также на земельных участках, государственная собственность на которые не разграничена, расположенных на территории муниципального образования городской округ город Воронеж, гаражей, являющихся некапитальными сооружениями, либо стоянки технических или других средств передвижения инвалидов вблизи их места жительства на территории городского округа город Воронеж.</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val="0"/>
          <w:bCs w:val="0"/>
          <w:i w:val="0"/>
          <w:iCs w:val="0"/>
          <w:caps w:val="0"/>
          <w:color w:val="000000"/>
          <w:spacing w:val="0"/>
          <w:sz w:val="20"/>
          <w:szCs w:val="20"/>
          <w:shd w:val="clear" w:color="auto" w:fill="FFFFFF"/>
        </w:rPr>
        <w:t>7.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А.В.</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r>
        <w:rPr>
          <w:rFonts w:ascii="Verdana" w:eastAsia="Verdana" w:hAnsi="Verdana" w:cs="Verdana"/>
          <w:b w:val="0"/>
          <w:bCs w:val="0"/>
          <w:i w:val="0"/>
          <w:iCs w:val="0"/>
          <w:caps w:val="0"/>
          <w:color w:val="000000"/>
          <w:spacing w:val="0"/>
          <w:sz w:val="20"/>
          <w:szCs w:val="20"/>
          <w:shd w:val="clear" w:color="auto" w:fill="FFFFFF"/>
        </w:rPr>
        <w:br/>
      </w:r>
    </w:p>
    <w:p>
      <w:pPr>
        <w:widowControl/>
        <w:shd w:val="clear" w:color="auto" w:fill="FFFFFF"/>
        <w:ind w:firstLine="0"/>
        <w:jc w:val="right"/>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Глава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городского округа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 В.Ю. Кстенин</w:t>
      </w:r>
    </w:p>
    <w:p>
      <w:r>
        <w:br/>
      </w:r>
    </w:p>
    <w:sectPr>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Calibri" w:eastAsia="Calibri" w:hAnsi="Calibri" w:cs="Calibri"/>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Calibri" w:eastAsia="Calibri" w:hAnsi="Calibri" w:cs="Calibri"/>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Calibri" w:eastAsia="Calibri" w:hAnsi="Calibri" w:cs="Calibri"/>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Calibri" w:eastAsia="Calibri" w:hAnsi="Calibri" w:cs="Calibri"/>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Calibri" w:eastAsia="Calibri" w:hAnsi="Calibri" w:cs="Calibri"/>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Calibri" w:eastAsia="Calibri" w:hAnsi="Calibri" w:cs="Calibri"/>
      <w:b/>
      <w:bCs/>
      <w:i w:val="0"/>
      <w:color w:val="1F3763" w:themeShade="7F"/>
      <w:sz w:val="16"/>
      <w:szCs w:val="16"/>
    </w:rPr>
  </w:style>
  <w:style w:type="character" w:default="1" w:styleId="DefaultParagraphFont">
    <w:name w:val="Default Paragraph Font"/>
    <w:semiHidden/>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news-date-time">
    <w:name w:val="news-date-time"/>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